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tblInd w:w="-2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8370"/>
      </w:tblGrid>
      <w:tr w:rsidR="001A1E3A" w:rsidRPr="00DF2C21" w14:paraId="0876326A" w14:textId="77777777" w:rsidTr="005D66CE">
        <w:tc>
          <w:tcPr>
            <w:tcW w:w="10170" w:type="dxa"/>
            <w:gridSpan w:val="2"/>
          </w:tcPr>
          <w:p w14:paraId="08763269" w14:textId="34A6CAC1" w:rsidR="001A1E3A" w:rsidRPr="00DF2C21" w:rsidRDefault="000F233D" w:rsidP="003A20B4">
            <w:pPr>
              <w:jc w:val="center"/>
              <w:rPr>
                <w:rFonts w:cstheme="minorHAnsi"/>
              </w:rPr>
            </w:pPr>
            <w:r w:rsidRPr="00DF2C21">
              <w:rPr>
                <w:rFonts w:cstheme="minorHAnsi"/>
                <w:b/>
                <w:bCs/>
                <w:sz w:val="24"/>
                <w:szCs w:val="24"/>
              </w:rPr>
              <w:t>Environmental Disclosure Information</w:t>
            </w:r>
          </w:p>
        </w:tc>
      </w:tr>
      <w:tr w:rsidR="001A1E3A" w:rsidRPr="00DF2C21" w14:paraId="0876326C" w14:textId="77777777" w:rsidTr="005D66CE">
        <w:tc>
          <w:tcPr>
            <w:tcW w:w="10170" w:type="dxa"/>
            <w:gridSpan w:val="2"/>
          </w:tcPr>
          <w:p w14:paraId="0876326B" w14:textId="658DA68D" w:rsidR="001A1E3A" w:rsidRPr="00920584" w:rsidRDefault="00920584" w:rsidP="001A1E3A">
            <w:pPr>
              <w:jc w:val="center"/>
              <w:rPr>
                <w:rFonts w:cstheme="minorHAnsi"/>
                <w:b/>
                <w:bCs/>
              </w:rPr>
            </w:pPr>
            <w:r w:rsidRPr="00920584">
              <w:rPr>
                <w:rFonts w:cstheme="minorHAnsi"/>
                <w:b/>
                <w:bCs/>
                <w:sz w:val="24"/>
                <w:szCs w:val="24"/>
              </w:rPr>
              <w:t>Clearview Electric, Inc. d/b/a Clearview Energy</w:t>
            </w:r>
          </w:p>
        </w:tc>
      </w:tr>
      <w:tr w:rsidR="001A1E3A" w:rsidRPr="00DF2C21" w14:paraId="0876326E" w14:textId="77777777" w:rsidTr="005D66CE">
        <w:tc>
          <w:tcPr>
            <w:tcW w:w="10170" w:type="dxa"/>
            <w:gridSpan w:val="2"/>
          </w:tcPr>
          <w:p w14:paraId="0876326D" w14:textId="42CCF86D" w:rsidR="001A1E3A" w:rsidRPr="00DF2C21" w:rsidRDefault="00836DCC" w:rsidP="009F2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Projected Data for the 20</w:t>
            </w:r>
            <w:r w:rsidR="00F24CE8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036A4F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F233D" w:rsidRPr="00DF2C21">
              <w:rPr>
                <w:rFonts w:cstheme="minorHAnsi"/>
                <w:b/>
                <w:bCs/>
                <w:sz w:val="24"/>
                <w:szCs w:val="24"/>
              </w:rPr>
              <w:t>Calendar Year</w:t>
            </w:r>
          </w:p>
        </w:tc>
      </w:tr>
      <w:tr w:rsidR="001A1E3A" w:rsidRPr="00DF2C21" w14:paraId="08763270" w14:textId="77777777" w:rsidTr="005D66CE">
        <w:tc>
          <w:tcPr>
            <w:tcW w:w="10170" w:type="dxa"/>
            <w:gridSpan w:val="2"/>
          </w:tcPr>
          <w:p w14:paraId="0876326F" w14:textId="15A62B74" w:rsidR="001A1E3A" w:rsidRPr="00DF2C21" w:rsidRDefault="001A1E3A" w:rsidP="007E7CDC">
            <w:pPr>
              <w:jc w:val="center"/>
              <w:rPr>
                <w:rFonts w:cstheme="minorHAnsi"/>
              </w:rPr>
            </w:pPr>
          </w:p>
        </w:tc>
      </w:tr>
      <w:tr w:rsidR="001A1E3A" w:rsidRPr="00DF2C21" w14:paraId="08763279" w14:textId="77777777" w:rsidTr="0012508C">
        <w:tblPrEx>
          <w:tblCellMar>
            <w:left w:w="108" w:type="dxa"/>
            <w:right w:w="108" w:type="dxa"/>
          </w:tblCellMar>
        </w:tblPrEx>
        <w:trPr>
          <w:trHeight w:val="4184"/>
        </w:trPr>
        <w:tc>
          <w:tcPr>
            <w:tcW w:w="1800" w:type="dxa"/>
          </w:tcPr>
          <w:p w14:paraId="08763271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Generation Resource</w:t>
            </w:r>
          </w:p>
          <w:p w14:paraId="08763272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Mix -</w:t>
            </w:r>
          </w:p>
          <w:p w14:paraId="50C23548" w14:textId="77777777" w:rsidR="00036A4F" w:rsidRPr="003C6CA5" w:rsidRDefault="00036A4F" w:rsidP="00036A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C6CA5">
              <w:rPr>
                <w:rFonts w:cstheme="minorHAnsi"/>
                <w:sz w:val="20"/>
                <w:szCs w:val="20"/>
              </w:rPr>
              <w:t>A comparison between the sources of</w:t>
            </w:r>
          </w:p>
          <w:p w14:paraId="08763274" w14:textId="4582E525" w:rsidR="001A1E3A" w:rsidRPr="00DF2C21" w:rsidRDefault="00036A4F" w:rsidP="00036A4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C6CA5">
              <w:rPr>
                <w:rFonts w:cstheme="minorHAnsi"/>
                <w:sz w:val="20"/>
                <w:szCs w:val="20"/>
              </w:rPr>
              <w:t>generation used to produce this product and the historic regional average supply mix.</w:t>
            </w:r>
          </w:p>
        </w:tc>
        <w:tc>
          <w:tcPr>
            <w:tcW w:w="837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29"/>
              <w:gridCol w:w="4115"/>
            </w:tblGrid>
            <w:tr w:rsidR="0012508C" w14:paraId="5D92D650" w14:textId="77777777" w:rsidTr="00C3304B">
              <w:trPr>
                <w:trHeight w:val="3896"/>
              </w:trPr>
              <w:tc>
                <w:tcPr>
                  <w:tcW w:w="4072" w:type="dxa"/>
                  <w:shd w:val="clear" w:color="auto" w:fill="auto"/>
                </w:tcPr>
                <w:p w14:paraId="4BF54BC1" w14:textId="2928BBFB" w:rsidR="0012508C" w:rsidRDefault="00C3304B" w:rsidP="001A1E3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AC058FD" wp14:editId="51C3179C">
                        <wp:extent cx="2534285" cy="2428875"/>
                        <wp:effectExtent l="0" t="0" r="18415" b="9525"/>
                        <wp:docPr id="894588365" name="Chart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A025A64-096A-4BBA-B7D8-81308336984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72" w:type="dxa"/>
                </w:tcPr>
                <w:p w14:paraId="1C6804F4" w14:textId="6FB34823" w:rsidR="0012508C" w:rsidRDefault="00802E60" w:rsidP="001A1E3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BE34FC4" wp14:editId="259E431C">
                        <wp:extent cx="2597946" cy="2428875"/>
                        <wp:effectExtent l="0" t="0" r="12065" b="9525"/>
                        <wp:docPr id="2053383940" name="Chart 2053383940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A025A64-096A-4BBA-B7D8-81308336984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763278" w14:textId="4BCC43E5" w:rsidR="001A1E3A" w:rsidRPr="00DF2C21" w:rsidRDefault="001A1E3A" w:rsidP="001A1E3A">
            <w:pPr>
              <w:rPr>
                <w:rFonts w:cstheme="minorHAnsi"/>
              </w:rPr>
            </w:pPr>
          </w:p>
        </w:tc>
      </w:tr>
      <w:tr w:rsidR="001A1E3A" w:rsidRPr="00DF2C21" w14:paraId="0876329F" w14:textId="77777777" w:rsidTr="005D66CE">
        <w:trPr>
          <w:trHeight w:val="2780"/>
        </w:trPr>
        <w:tc>
          <w:tcPr>
            <w:tcW w:w="1800" w:type="dxa"/>
          </w:tcPr>
          <w:p w14:paraId="0876327A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Environmental</w:t>
            </w:r>
          </w:p>
          <w:p w14:paraId="0876327B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Characteristics–</w:t>
            </w:r>
          </w:p>
          <w:p w14:paraId="44F4BC8A" w14:textId="77777777" w:rsidR="00036A4F" w:rsidRPr="003C6CA5" w:rsidRDefault="00036A4F" w:rsidP="00036A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C6CA5">
              <w:rPr>
                <w:rFonts w:cstheme="minorHAnsi"/>
                <w:sz w:val="20"/>
                <w:szCs w:val="20"/>
              </w:rPr>
              <w:t>A description of the characteristics</w:t>
            </w:r>
          </w:p>
          <w:p w14:paraId="7BF1E5E0" w14:textId="77777777" w:rsidR="00036A4F" w:rsidRPr="003C6CA5" w:rsidRDefault="00036A4F" w:rsidP="00036A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C6CA5">
              <w:rPr>
                <w:rFonts w:cstheme="minorHAnsi"/>
                <w:sz w:val="20"/>
                <w:szCs w:val="20"/>
              </w:rPr>
              <w:t>associated with each possible generation</w:t>
            </w:r>
          </w:p>
          <w:p w14:paraId="0876327F" w14:textId="0A0CCA39" w:rsidR="001A1E3A" w:rsidRPr="00DF2C21" w:rsidRDefault="00036A4F" w:rsidP="00036A4F">
            <w:pPr>
              <w:rPr>
                <w:rFonts w:cstheme="minorHAnsi"/>
              </w:rPr>
            </w:pPr>
            <w:r w:rsidRPr="003C6CA5">
              <w:rPr>
                <w:rFonts w:cstheme="minorHAnsi"/>
                <w:sz w:val="20"/>
                <w:szCs w:val="20"/>
              </w:rPr>
              <w:t>resource.</w:t>
            </w:r>
          </w:p>
        </w:tc>
        <w:tc>
          <w:tcPr>
            <w:tcW w:w="8370" w:type="dxa"/>
          </w:tcPr>
          <w:tbl>
            <w:tblPr>
              <w:tblW w:w="7918" w:type="dxa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60"/>
              <w:gridCol w:w="4358"/>
            </w:tblGrid>
            <w:tr w:rsidR="005D66CE" w:rsidRPr="00DF2C21" w14:paraId="08763282" w14:textId="27BBE6C4" w:rsidTr="005D66CE">
              <w:trPr>
                <w:trHeight w:val="170"/>
              </w:trPr>
              <w:tc>
                <w:tcPr>
                  <w:tcW w:w="3560" w:type="dxa"/>
                  <w:vAlign w:val="center"/>
                </w:tcPr>
                <w:p w14:paraId="08763280" w14:textId="096A57AE" w:rsidR="00B0007F" w:rsidRPr="00B0007F" w:rsidRDefault="005D66CE" w:rsidP="00370959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Biomass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1" w14:textId="5DD8B34A" w:rsidR="00B0007F" w:rsidRPr="00B0007F" w:rsidRDefault="005D66CE" w:rsidP="00370959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5" w14:textId="3F11D222" w:rsidTr="005D66CE">
              <w:trPr>
                <w:trHeight w:val="268"/>
              </w:trPr>
              <w:tc>
                <w:tcPr>
                  <w:tcW w:w="3560" w:type="dxa"/>
                  <w:vAlign w:val="center"/>
                </w:tcPr>
                <w:p w14:paraId="08763283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Coal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4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8" w14:textId="722E9C45" w:rsidTr="005D66CE">
              <w:trPr>
                <w:trHeight w:val="242"/>
              </w:trPr>
              <w:tc>
                <w:tcPr>
                  <w:tcW w:w="3560" w:type="dxa"/>
                  <w:vAlign w:val="center"/>
                </w:tcPr>
                <w:p w14:paraId="08763286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Hydro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7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</w:tr>
            <w:tr w:rsidR="005D66CE" w:rsidRPr="00DF2C21" w14:paraId="0876328B" w14:textId="58BCB3CD" w:rsidTr="005D66CE">
              <w:trPr>
                <w:trHeight w:val="307"/>
              </w:trPr>
              <w:tc>
                <w:tcPr>
                  <w:tcW w:w="3560" w:type="dxa"/>
                  <w:vAlign w:val="center"/>
                </w:tcPr>
                <w:p w14:paraId="08763289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Natural Gas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A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E" w14:textId="7CF0B7C9" w:rsidTr="005D66CE">
              <w:trPr>
                <w:trHeight w:val="230"/>
              </w:trPr>
              <w:tc>
                <w:tcPr>
                  <w:tcW w:w="3560" w:type="dxa"/>
                  <w:vAlign w:val="center"/>
                </w:tcPr>
                <w:p w14:paraId="0876328C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Nuclear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D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Radioactive Waste</w:t>
                  </w:r>
                </w:p>
              </w:tc>
            </w:tr>
            <w:tr w:rsidR="005D66CE" w:rsidRPr="00DF2C21" w14:paraId="08763291" w14:textId="3B62B836" w:rsidTr="005D66CE">
              <w:trPr>
                <w:trHeight w:val="211"/>
              </w:trPr>
              <w:tc>
                <w:tcPr>
                  <w:tcW w:w="3560" w:type="dxa"/>
                  <w:vAlign w:val="center"/>
                </w:tcPr>
                <w:p w14:paraId="0876328F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Oil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0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94" w14:textId="5617137B" w:rsidTr="005D66CE">
              <w:trPr>
                <w:trHeight w:val="249"/>
              </w:trPr>
              <w:tc>
                <w:tcPr>
                  <w:tcW w:w="3560" w:type="dxa"/>
                  <w:vAlign w:val="center"/>
                </w:tcPr>
                <w:p w14:paraId="08763292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Other Sources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3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</w:tr>
            <w:tr w:rsidR="005D66CE" w:rsidRPr="00DF2C21" w14:paraId="08763297" w14:textId="677B630D" w:rsidTr="005D66CE">
              <w:trPr>
                <w:trHeight w:val="211"/>
              </w:trPr>
              <w:tc>
                <w:tcPr>
                  <w:tcW w:w="3560" w:type="dxa"/>
                  <w:vAlign w:val="center"/>
                </w:tcPr>
                <w:p w14:paraId="08763295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Solar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6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No Significant Impacts</w:t>
                  </w:r>
                </w:p>
              </w:tc>
            </w:tr>
            <w:tr w:rsidR="005D66CE" w:rsidRPr="00DF2C21" w14:paraId="0876329A" w14:textId="57045A02" w:rsidTr="005D66CE">
              <w:trPr>
                <w:trHeight w:val="288"/>
              </w:trPr>
              <w:tc>
                <w:tcPr>
                  <w:tcW w:w="3560" w:type="dxa"/>
                  <w:vAlign w:val="center"/>
                </w:tcPr>
                <w:p w14:paraId="08763298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Purchased Resources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9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</w:tr>
            <w:tr w:rsidR="005D66CE" w:rsidRPr="00DF2C21" w14:paraId="0876329D" w14:textId="1463C214" w:rsidTr="005D66CE">
              <w:trPr>
                <w:trHeight w:val="298"/>
              </w:trPr>
              <w:tc>
                <w:tcPr>
                  <w:tcW w:w="3560" w:type="dxa"/>
                  <w:vAlign w:val="center"/>
                </w:tcPr>
                <w:p w14:paraId="0876329B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Wind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C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</w:tr>
          </w:tbl>
          <w:p w14:paraId="0876329E" w14:textId="77777777" w:rsidR="001A1E3A" w:rsidRPr="00DF2C21" w:rsidRDefault="001A1E3A" w:rsidP="001A1E3A">
            <w:pPr>
              <w:rPr>
                <w:rFonts w:cstheme="minorHAnsi"/>
              </w:rPr>
            </w:pPr>
          </w:p>
        </w:tc>
      </w:tr>
      <w:tr w:rsidR="001A1E3A" w:rsidRPr="00DF2C21" w14:paraId="087632A5" w14:textId="77777777" w:rsidTr="009A3244">
        <w:tblPrEx>
          <w:tblCellMar>
            <w:left w:w="108" w:type="dxa"/>
            <w:right w:w="108" w:type="dxa"/>
          </w:tblCellMar>
        </w:tblPrEx>
        <w:trPr>
          <w:trHeight w:val="2870"/>
        </w:trPr>
        <w:tc>
          <w:tcPr>
            <w:tcW w:w="1800" w:type="dxa"/>
            <w:shd w:val="clear" w:color="auto" w:fill="auto"/>
          </w:tcPr>
          <w:p w14:paraId="087632A0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Air Emissions –</w:t>
            </w:r>
          </w:p>
          <w:p w14:paraId="7E5B75DB" w14:textId="77777777" w:rsidR="00036A4F" w:rsidRPr="003C6CA5" w:rsidRDefault="00036A4F" w:rsidP="00036A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C6CA5">
              <w:rPr>
                <w:rFonts w:cstheme="minorHAnsi"/>
                <w:sz w:val="20"/>
                <w:szCs w:val="20"/>
              </w:rPr>
              <w:t xml:space="preserve">A comparison between </w:t>
            </w:r>
            <w:proofErr w:type="gramStart"/>
            <w:r w:rsidRPr="003C6CA5">
              <w:rPr>
                <w:rFonts w:cstheme="minorHAnsi"/>
                <w:sz w:val="20"/>
                <w:szCs w:val="20"/>
              </w:rPr>
              <w:t>the air</w:t>
            </w:r>
            <w:proofErr w:type="gramEnd"/>
            <w:r w:rsidRPr="003C6CA5">
              <w:rPr>
                <w:rFonts w:cstheme="minorHAnsi"/>
                <w:sz w:val="20"/>
                <w:szCs w:val="20"/>
              </w:rPr>
              <w:t xml:space="preserve"> emissions</w:t>
            </w:r>
          </w:p>
          <w:p w14:paraId="087632A2" w14:textId="15C53FCF" w:rsidR="001A1E3A" w:rsidRPr="001520EE" w:rsidRDefault="00036A4F" w:rsidP="00036A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C6CA5">
              <w:rPr>
                <w:rFonts w:cstheme="minorHAnsi"/>
                <w:sz w:val="20"/>
                <w:szCs w:val="20"/>
              </w:rPr>
              <w:t>related to this product and the regional average air emissions.</w:t>
            </w:r>
          </w:p>
        </w:tc>
        <w:tc>
          <w:tcPr>
            <w:tcW w:w="8370" w:type="dxa"/>
          </w:tcPr>
          <w:p w14:paraId="087632A4" w14:textId="1914007C" w:rsidR="001A1E3A" w:rsidRPr="00DF2C21" w:rsidRDefault="008E5A5F" w:rsidP="001A1E3A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147F9F4" wp14:editId="6BD5BF2A">
                  <wp:extent cx="5318125" cy="1905000"/>
                  <wp:effectExtent l="0" t="0" r="15875" b="0"/>
                  <wp:docPr id="112292062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5A182B-489E-46D3-9880-42C80EAB25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1A1E3A" w:rsidRPr="00DF2C21" w14:paraId="087632B9" w14:textId="77777777" w:rsidTr="003841C2">
        <w:trPr>
          <w:trHeight w:val="1106"/>
        </w:trPr>
        <w:tc>
          <w:tcPr>
            <w:tcW w:w="1800" w:type="dxa"/>
          </w:tcPr>
          <w:p w14:paraId="087632A6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Radioactive</w:t>
            </w:r>
          </w:p>
          <w:p w14:paraId="087632A7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Waste –</w:t>
            </w:r>
          </w:p>
          <w:p w14:paraId="087632A9" w14:textId="77777777" w:rsidR="001A1E3A" w:rsidRPr="00DF2C21" w:rsidRDefault="001A1E3A" w:rsidP="00C04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>Radioactive waste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DF2C21">
              <w:rPr>
                <w:rFonts w:cstheme="minorHAnsi"/>
                <w:sz w:val="20"/>
                <w:szCs w:val="20"/>
              </w:rPr>
              <w:t>associated</w:t>
            </w:r>
            <w:proofErr w:type="gramEnd"/>
            <w:r w:rsidRPr="00DF2C21">
              <w:rPr>
                <w:rFonts w:cstheme="minorHAnsi"/>
                <w:sz w:val="20"/>
                <w:szCs w:val="20"/>
              </w:rPr>
              <w:t xml:space="preserve"> with the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product.</w:t>
            </w:r>
          </w:p>
        </w:tc>
        <w:tc>
          <w:tcPr>
            <w:tcW w:w="8370" w:type="dxa"/>
          </w:tcPr>
          <w:tbl>
            <w:tblPr>
              <w:tblW w:w="0" w:type="auto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2130"/>
              <w:gridCol w:w="1425"/>
            </w:tblGrid>
            <w:tr w:rsidR="001A1E3A" w:rsidRPr="00DF2C21" w14:paraId="087632AD" w14:textId="77777777" w:rsidTr="001520EE">
              <w:trPr>
                <w:trHeight w:val="285"/>
              </w:trPr>
              <w:tc>
                <w:tcPr>
                  <w:tcW w:w="3510" w:type="dxa"/>
                </w:tcPr>
                <w:p w14:paraId="087632AB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Type:</w:t>
                  </w:r>
                </w:p>
              </w:tc>
              <w:tc>
                <w:tcPr>
                  <w:tcW w:w="3555" w:type="dxa"/>
                  <w:gridSpan w:val="2"/>
                </w:tcPr>
                <w:p w14:paraId="087632AC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Quantity:</w:t>
                  </w:r>
                </w:p>
              </w:tc>
            </w:tr>
            <w:tr w:rsidR="001A1E3A" w:rsidRPr="00DF2C21" w14:paraId="087632B2" w14:textId="77777777" w:rsidTr="001520EE">
              <w:trPr>
                <w:trHeight w:val="323"/>
              </w:trPr>
              <w:tc>
                <w:tcPr>
                  <w:tcW w:w="3510" w:type="dxa"/>
                </w:tcPr>
                <w:p w14:paraId="087632AE" w14:textId="77777777" w:rsidR="001A1E3A" w:rsidRPr="00DF2C21" w:rsidRDefault="001A1E3A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High-Level Radioactive Waste</w:t>
                  </w:r>
                </w:p>
              </w:tc>
              <w:tc>
                <w:tcPr>
                  <w:tcW w:w="2130" w:type="dxa"/>
                </w:tcPr>
                <w:p w14:paraId="087632AF" w14:textId="02139823" w:rsidR="009F23FB" w:rsidRPr="00DF2C21" w:rsidRDefault="009F23FB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425" w:type="dxa"/>
                </w:tcPr>
                <w:p w14:paraId="087632B0" w14:textId="77777777" w:rsidR="00B40414" w:rsidRPr="00DF2C21" w:rsidRDefault="00B40414" w:rsidP="001A1E3A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87632B1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16"/>
                      <w:szCs w:val="16"/>
                    </w:rPr>
                    <w:t>Lbs./1,000 kWh</w:t>
                  </w:r>
                </w:p>
              </w:tc>
            </w:tr>
            <w:tr w:rsidR="009F23FB" w:rsidRPr="00DF2C21" w14:paraId="087632B7" w14:textId="77777777" w:rsidTr="001520EE">
              <w:trPr>
                <w:trHeight w:val="260"/>
              </w:trPr>
              <w:tc>
                <w:tcPr>
                  <w:tcW w:w="3510" w:type="dxa"/>
                </w:tcPr>
                <w:p w14:paraId="087632B3" w14:textId="77777777" w:rsidR="009F23FB" w:rsidRPr="00DF2C21" w:rsidRDefault="009F23FB" w:rsidP="009F23F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Low-Level Radioactive Waste</w:t>
                  </w:r>
                </w:p>
              </w:tc>
              <w:tc>
                <w:tcPr>
                  <w:tcW w:w="2130" w:type="dxa"/>
                </w:tcPr>
                <w:p w14:paraId="087632B4" w14:textId="44C01D27" w:rsidR="009F23FB" w:rsidRPr="00DF2C21" w:rsidRDefault="009F23FB" w:rsidP="009F23FB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425" w:type="dxa"/>
                </w:tcPr>
                <w:p w14:paraId="087632B5" w14:textId="77777777" w:rsidR="009F23FB" w:rsidRPr="00DF2C21" w:rsidRDefault="009F23FB" w:rsidP="009F23FB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87632B6" w14:textId="77777777" w:rsidR="009F23FB" w:rsidRPr="00DF2C21" w:rsidRDefault="009F23FB" w:rsidP="009F23F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16"/>
                      <w:szCs w:val="16"/>
                    </w:rPr>
                    <w:t>Ft³/1,000 kWh</w:t>
                  </w:r>
                </w:p>
              </w:tc>
            </w:tr>
          </w:tbl>
          <w:p w14:paraId="087632B8" w14:textId="77777777" w:rsidR="001A1E3A" w:rsidRPr="00DF2C21" w:rsidRDefault="001A1E3A" w:rsidP="00B411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A1E3A" w:rsidRPr="00DF2C21" w14:paraId="087632BC" w14:textId="77777777" w:rsidTr="005D66CE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10170" w:type="dxa"/>
            <w:gridSpan w:val="2"/>
          </w:tcPr>
          <w:p w14:paraId="087632BB" w14:textId="37CF3F0E" w:rsidR="001A1E3A" w:rsidRPr="00DF2C21" w:rsidRDefault="00036A4F" w:rsidP="00036A4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C6CA5">
              <w:rPr>
                <w:rFonts w:cstheme="minorHAnsi"/>
                <w:sz w:val="20"/>
                <w:szCs w:val="20"/>
              </w:rPr>
              <w:t xml:space="preserve">With in-depth analysis, the environmental characteristics of any form of electric generation will reveal benefits as well as costs. For further information, contact </w:t>
            </w:r>
            <w:r>
              <w:rPr>
                <w:rFonts w:cstheme="minorHAnsi"/>
                <w:sz w:val="20"/>
                <w:szCs w:val="20"/>
              </w:rPr>
              <w:t>Clearview Energy</w:t>
            </w:r>
            <w:r w:rsidRPr="003C6CA5">
              <w:rPr>
                <w:rFonts w:cstheme="minorHAnsi"/>
                <w:sz w:val="20"/>
                <w:szCs w:val="20"/>
              </w:rPr>
              <w:t xml:space="preserve"> at </w:t>
            </w:r>
            <w:r>
              <w:rPr>
                <w:rFonts w:cstheme="minorHAnsi"/>
                <w:sz w:val="20"/>
                <w:szCs w:val="20"/>
              </w:rPr>
              <w:t>www.ClearviewEnergy.com</w:t>
            </w:r>
            <w:r w:rsidRPr="003C6CA5">
              <w:rPr>
                <w:rFonts w:cstheme="minorHAnsi"/>
                <w:sz w:val="20"/>
                <w:szCs w:val="20"/>
              </w:rPr>
              <w:t xml:space="preserve"> or by phone at </w:t>
            </w:r>
            <w:r>
              <w:rPr>
                <w:rFonts w:cstheme="minorHAnsi"/>
                <w:sz w:val="20"/>
                <w:szCs w:val="20"/>
              </w:rPr>
              <w:t>800-746-4702</w:t>
            </w:r>
            <w:r w:rsidRPr="003C6CA5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087632BD" w14:textId="77777777" w:rsidR="00C021C6" w:rsidRPr="00DF2C21" w:rsidRDefault="00C021C6" w:rsidP="00277C3D">
      <w:pPr>
        <w:rPr>
          <w:rFonts w:cstheme="minorHAnsi"/>
        </w:rPr>
      </w:pPr>
    </w:p>
    <w:sectPr w:rsidR="00C021C6" w:rsidRPr="00DF2C21" w:rsidSect="00970B8F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D0A42" w14:textId="77777777" w:rsidR="0080097F" w:rsidRDefault="0080097F" w:rsidP="00F87776">
      <w:pPr>
        <w:spacing w:after="0" w:line="240" w:lineRule="auto"/>
      </w:pPr>
      <w:r>
        <w:separator/>
      </w:r>
    </w:p>
  </w:endnote>
  <w:endnote w:type="continuationSeparator" w:id="0">
    <w:p w14:paraId="62FAB1CE" w14:textId="77777777" w:rsidR="0080097F" w:rsidRDefault="0080097F" w:rsidP="00F87776">
      <w:pPr>
        <w:spacing w:after="0" w:line="240" w:lineRule="auto"/>
      </w:pPr>
      <w:r>
        <w:continuationSeparator/>
      </w:r>
    </w:p>
  </w:endnote>
  <w:endnote w:type="continuationNotice" w:id="1">
    <w:p w14:paraId="51FD0DF8" w14:textId="77777777" w:rsidR="0080097F" w:rsidRDefault="008009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1DB19" w14:textId="77777777" w:rsidR="0080097F" w:rsidRDefault="0080097F" w:rsidP="00F87776">
      <w:pPr>
        <w:spacing w:after="0" w:line="240" w:lineRule="auto"/>
      </w:pPr>
      <w:r>
        <w:separator/>
      </w:r>
    </w:p>
  </w:footnote>
  <w:footnote w:type="continuationSeparator" w:id="0">
    <w:p w14:paraId="775A0479" w14:textId="77777777" w:rsidR="0080097F" w:rsidRDefault="0080097F" w:rsidP="00F87776">
      <w:pPr>
        <w:spacing w:after="0" w:line="240" w:lineRule="auto"/>
      </w:pPr>
      <w:r>
        <w:continuationSeparator/>
      </w:r>
    </w:p>
  </w:footnote>
  <w:footnote w:type="continuationNotice" w:id="1">
    <w:p w14:paraId="3C2C07EA" w14:textId="77777777" w:rsidR="0080097F" w:rsidRDefault="0080097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3A"/>
    <w:rsid w:val="00001CA2"/>
    <w:rsid w:val="00003F8E"/>
    <w:rsid w:val="00005939"/>
    <w:rsid w:val="00011DFE"/>
    <w:rsid w:val="00014A8B"/>
    <w:rsid w:val="0002023E"/>
    <w:rsid w:val="00021515"/>
    <w:rsid w:val="00022129"/>
    <w:rsid w:val="000224B0"/>
    <w:rsid w:val="00026CC2"/>
    <w:rsid w:val="00026E55"/>
    <w:rsid w:val="00036A4F"/>
    <w:rsid w:val="00040A40"/>
    <w:rsid w:val="00042A5B"/>
    <w:rsid w:val="00060ADF"/>
    <w:rsid w:val="000627AC"/>
    <w:rsid w:val="00071F63"/>
    <w:rsid w:val="00074D02"/>
    <w:rsid w:val="0007563C"/>
    <w:rsid w:val="00076764"/>
    <w:rsid w:val="000773CE"/>
    <w:rsid w:val="00086F9D"/>
    <w:rsid w:val="00096091"/>
    <w:rsid w:val="00096A8F"/>
    <w:rsid w:val="00096C12"/>
    <w:rsid w:val="000A70E8"/>
    <w:rsid w:val="000B05BF"/>
    <w:rsid w:val="000B6809"/>
    <w:rsid w:val="000C07CF"/>
    <w:rsid w:val="000C724F"/>
    <w:rsid w:val="000D0F73"/>
    <w:rsid w:val="000E2257"/>
    <w:rsid w:val="000F233D"/>
    <w:rsid w:val="000F42A2"/>
    <w:rsid w:val="000F6CC2"/>
    <w:rsid w:val="00100D11"/>
    <w:rsid w:val="00102DE2"/>
    <w:rsid w:val="001113DA"/>
    <w:rsid w:val="00117D13"/>
    <w:rsid w:val="0012508C"/>
    <w:rsid w:val="00131FE9"/>
    <w:rsid w:val="00133A32"/>
    <w:rsid w:val="00134506"/>
    <w:rsid w:val="00134B69"/>
    <w:rsid w:val="0014147D"/>
    <w:rsid w:val="001420CA"/>
    <w:rsid w:val="00150575"/>
    <w:rsid w:val="00151808"/>
    <w:rsid w:val="001520EE"/>
    <w:rsid w:val="00154411"/>
    <w:rsid w:val="0015544D"/>
    <w:rsid w:val="00157329"/>
    <w:rsid w:val="00157A09"/>
    <w:rsid w:val="00163B07"/>
    <w:rsid w:val="0016500B"/>
    <w:rsid w:val="00176ED8"/>
    <w:rsid w:val="0018549F"/>
    <w:rsid w:val="00191FEB"/>
    <w:rsid w:val="001929EE"/>
    <w:rsid w:val="00194C2D"/>
    <w:rsid w:val="001A1E3A"/>
    <w:rsid w:val="001A238C"/>
    <w:rsid w:val="001A2C2F"/>
    <w:rsid w:val="001A443C"/>
    <w:rsid w:val="001A6A88"/>
    <w:rsid w:val="001B0DFF"/>
    <w:rsid w:val="001D586E"/>
    <w:rsid w:val="001E330E"/>
    <w:rsid w:val="00203848"/>
    <w:rsid w:val="00204206"/>
    <w:rsid w:val="00204FBB"/>
    <w:rsid w:val="00207263"/>
    <w:rsid w:val="00233A4E"/>
    <w:rsid w:val="002401FE"/>
    <w:rsid w:val="00243989"/>
    <w:rsid w:val="002608BA"/>
    <w:rsid w:val="00275555"/>
    <w:rsid w:val="00277C3D"/>
    <w:rsid w:val="0028242B"/>
    <w:rsid w:val="00283F04"/>
    <w:rsid w:val="00284360"/>
    <w:rsid w:val="002B47E8"/>
    <w:rsid w:val="002B5E54"/>
    <w:rsid w:val="002B62F5"/>
    <w:rsid w:val="002C1C08"/>
    <w:rsid w:val="002E4EDC"/>
    <w:rsid w:val="002E75EC"/>
    <w:rsid w:val="002F58B0"/>
    <w:rsid w:val="00311A5C"/>
    <w:rsid w:val="003146F8"/>
    <w:rsid w:val="00330ADD"/>
    <w:rsid w:val="0033524A"/>
    <w:rsid w:val="0034245D"/>
    <w:rsid w:val="00342E5E"/>
    <w:rsid w:val="00344EDC"/>
    <w:rsid w:val="003516BD"/>
    <w:rsid w:val="003638EA"/>
    <w:rsid w:val="003647C3"/>
    <w:rsid w:val="00370959"/>
    <w:rsid w:val="00376245"/>
    <w:rsid w:val="00380D5B"/>
    <w:rsid w:val="0038107A"/>
    <w:rsid w:val="003841C2"/>
    <w:rsid w:val="00387506"/>
    <w:rsid w:val="00391979"/>
    <w:rsid w:val="00392F1C"/>
    <w:rsid w:val="003934CD"/>
    <w:rsid w:val="00393E0A"/>
    <w:rsid w:val="003A20B4"/>
    <w:rsid w:val="003A43D7"/>
    <w:rsid w:val="003B135F"/>
    <w:rsid w:val="003B1F0C"/>
    <w:rsid w:val="003C029E"/>
    <w:rsid w:val="003C06E7"/>
    <w:rsid w:val="003D3646"/>
    <w:rsid w:val="003E3FD1"/>
    <w:rsid w:val="003E6BC0"/>
    <w:rsid w:val="003F4FFD"/>
    <w:rsid w:val="00403BCF"/>
    <w:rsid w:val="00404CA8"/>
    <w:rsid w:val="00407192"/>
    <w:rsid w:val="00411AFE"/>
    <w:rsid w:val="0042407D"/>
    <w:rsid w:val="00426361"/>
    <w:rsid w:val="00436206"/>
    <w:rsid w:val="004369A7"/>
    <w:rsid w:val="004378CC"/>
    <w:rsid w:val="00445749"/>
    <w:rsid w:val="004575F2"/>
    <w:rsid w:val="004631B2"/>
    <w:rsid w:val="00465395"/>
    <w:rsid w:val="00477520"/>
    <w:rsid w:val="00486159"/>
    <w:rsid w:val="00496765"/>
    <w:rsid w:val="004A2304"/>
    <w:rsid w:val="004A6F2A"/>
    <w:rsid w:val="004A7A4F"/>
    <w:rsid w:val="004B248A"/>
    <w:rsid w:val="004D04DA"/>
    <w:rsid w:val="004D213A"/>
    <w:rsid w:val="004D54D5"/>
    <w:rsid w:val="004E4EB0"/>
    <w:rsid w:val="004F05C7"/>
    <w:rsid w:val="004F6C91"/>
    <w:rsid w:val="00506E77"/>
    <w:rsid w:val="00527F9E"/>
    <w:rsid w:val="00532097"/>
    <w:rsid w:val="00532409"/>
    <w:rsid w:val="00541630"/>
    <w:rsid w:val="00551543"/>
    <w:rsid w:val="00555B9F"/>
    <w:rsid w:val="00556795"/>
    <w:rsid w:val="005645C4"/>
    <w:rsid w:val="005712AD"/>
    <w:rsid w:val="00572EA3"/>
    <w:rsid w:val="00575246"/>
    <w:rsid w:val="005927B0"/>
    <w:rsid w:val="005A642D"/>
    <w:rsid w:val="005B007F"/>
    <w:rsid w:val="005B65DC"/>
    <w:rsid w:val="005C63BF"/>
    <w:rsid w:val="005D0ABA"/>
    <w:rsid w:val="005D48CD"/>
    <w:rsid w:val="005D66CE"/>
    <w:rsid w:val="005E3708"/>
    <w:rsid w:val="005E7B26"/>
    <w:rsid w:val="005F1D31"/>
    <w:rsid w:val="005F3CAE"/>
    <w:rsid w:val="005F3D75"/>
    <w:rsid w:val="0060680E"/>
    <w:rsid w:val="006154AB"/>
    <w:rsid w:val="0063201C"/>
    <w:rsid w:val="0063673B"/>
    <w:rsid w:val="00636D3A"/>
    <w:rsid w:val="006542B2"/>
    <w:rsid w:val="006545FB"/>
    <w:rsid w:val="0065611B"/>
    <w:rsid w:val="0067308C"/>
    <w:rsid w:val="006751EF"/>
    <w:rsid w:val="0068153F"/>
    <w:rsid w:val="00683E77"/>
    <w:rsid w:val="00694552"/>
    <w:rsid w:val="006A15E2"/>
    <w:rsid w:val="006A325C"/>
    <w:rsid w:val="006A4058"/>
    <w:rsid w:val="006A76AF"/>
    <w:rsid w:val="006B3913"/>
    <w:rsid w:val="006C02DA"/>
    <w:rsid w:val="006D444F"/>
    <w:rsid w:val="006D4B7A"/>
    <w:rsid w:val="006D5DE5"/>
    <w:rsid w:val="006D7B29"/>
    <w:rsid w:val="006F0E70"/>
    <w:rsid w:val="006F4A49"/>
    <w:rsid w:val="006F56F5"/>
    <w:rsid w:val="0070612D"/>
    <w:rsid w:val="00712682"/>
    <w:rsid w:val="00714D76"/>
    <w:rsid w:val="007152A6"/>
    <w:rsid w:val="00716305"/>
    <w:rsid w:val="007167A5"/>
    <w:rsid w:val="00716AB6"/>
    <w:rsid w:val="00730A74"/>
    <w:rsid w:val="00734827"/>
    <w:rsid w:val="0074192F"/>
    <w:rsid w:val="007419B7"/>
    <w:rsid w:val="00742FF2"/>
    <w:rsid w:val="007466EE"/>
    <w:rsid w:val="0077050A"/>
    <w:rsid w:val="00774F26"/>
    <w:rsid w:val="00776341"/>
    <w:rsid w:val="007769D3"/>
    <w:rsid w:val="007848DD"/>
    <w:rsid w:val="007875C6"/>
    <w:rsid w:val="007978F0"/>
    <w:rsid w:val="007A0745"/>
    <w:rsid w:val="007A08F7"/>
    <w:rsid w:val="007D3067"/>
    <w:rsid w:val="007E1C1B"/>
    <w:rsid w:val="007E7CDC"/>
    <w:rsid w:val="007F5769"/>
    <w:rsid w:val="0080097F"/>
    <w:rsid w:val="00800993"/>
    <w:rsid w:val="008013E5"/>
    <w:rsid w:val="008017B4"/>
    <w:rsid w:val="00802E60"/>
    <w:rsid w:val="00803313"/>
    <w:rsid w:val="0080661A"/>
    <w:rsid w:val="008103F6"/>
    <w:rsid w:val="00813EF2"/>
    <w:rsid w:val="00820B71"/>
    <w:rsid w:val="008214C5"/>
    <w:rsid w:val="00822C0B"/>
    <w:rsid w:val="00833166"/>
    <w:rsid w:val="00835B9C"/>
    <w:rsid w:val="00836DCC"/>
    <w:rsid w:val="00842820"/>
    <w:rsid w:val="008444C5"/>
    <w:rsid w:val="008509A6"/>
    <w:rsid w:val="0086100D"/>
    <w:rsid w:val="00861051"/>
    <w:rsid w:val="00864238"/>
    <w:rsid w:val="008704E3"/>
    <w:rsid w:val="00882255"/>
    <w:rsid w:val="00884BE5"/>
    <w:rsid w:val="00891D03"/>
    <w:rsid w:val="008A236C"/>
    <w:rsid w:val="008B2654"/>
    <w:rsid w:val="008C23AC"/>
    <w:rsid w:val="008C3434"/>
    <w:rsid w:val="008C413A"/>
    <w:rsid w:val="008C5F64"/>
    <w:rsid w:val="008D37D5"/>
    <w:rsid w:val="008E5487"/>
    <w:rsid w:val="008E5A5F"/>
    <w:rsid w:val="008F5A0C"/>
    <w:rsid w:val="008F706F"/>
    <w:rsid w:val="00920584"/>
    <w:rsid w:val="00923D57"/>
    <w:rsid w:val="00925B39"/>
    <w:rsid w:val="00946C94"/>
    <w:rsid w:val="009526F2"/>
    <w:rsid w:val="00953345"/>
    <w:rsid w:val="009708DC"/>
    <w:rsid w:val="00970B8F"/>
    <w:rsid w:val="00977D6D"/>
    <w:rsid w:val="00980E78"/>
    <w:rsid w:val="009831DA"/>
    <w:rsid w:val="00985076"/>
    <w:rsid w:val="009937F8"/>
    <w:rsid w:val="0099504B"/>
    <w:rsid w:val="00997E0A"/>
    <w:rsid w:val="009A3244"/>
    <w:rsid w:val="009A38F0"/>
    <w:rsid w:val="009D1484"/>
    <w:rsid w:val="009D784B"/>
    <w:rsid w:val="009E0DD4"/>
    <w:rsid w:val="009E2509"/>
    <w:rsid w:val="009E3223"/>
    <w:rsid w:val="009F23FB"/>
    <w:rsid w:val="00A0050E"/>
    <w:rsid w:val="00A02ECC"/>
    <w:rsid w:val="00A0557B"/>
    <w:rsid w:val="00A06894"/>
    <w:rsid w:val="00A1178A"/>
    <w:rsid w:val="00A14187"/>
    <w:rsid w:val="00A14625"/>
    <w:rsid w:val="00A42867"/>
    <w:rsid w:val="00A440CD"/>
    <w:rsid w:val="00A464C1"/>
    <w:rsid w:val="00A526F9"/>
    <w:rsid w:val="00A56FF3"/>
    <w:rsid w:val="00A730FC"/>
    <w:rsid w:val="00A74B1A"/>
    <w:rsid w:val="00A777A1"/>
    <w:rsid w:val="00A80B66"/>
    <w:rsid w:val="00A8125F"/>
    <w:rsid w:val="00A97CE3"/>
    <w:rsid w:val="00AA17E7"/>
    <w:rsid w:val="00AA3F6C"/>
    <w:rsid w:val="00AA7DED"/>
    <w:rsid w:val="00AB1A99"/>
    <w:rsid w:val="00AB56A2"/>
    <w:rsid w:val="00AB657B"/>
    <w:rsid w:val="00AC62EC"/>
    <w:rsid w:val="00AD1A34"/>
    <w:rsid w:val="00AD4440"/>
    <w:rsid w:val="00AE149E"/>
    <w:rsid w:val="00AE2C67"/>
    <w:rsid w:val="00AE5626"/>
    <w:rsid w:val="00AE5EAA"/>
    <w:rsid w:val="00AF2293"/>
    <w:rsid w:val="00B0007F"/>
    <w:rsid w:val="00B00936"/>
    <w:rsid w:val="00B03230"/>
    <w:rsid w:val="00B064DE"/>
    <w:rsid w:val="00B0655C"/>
    <w:rsid w:val="00B12337"/>
    <w:rsid w:val="00B17EE7"/>
    <w:rsid w:val="00B23E9A"/>
    <w:rsid w:val="00B40414"/>
    <w:rsid w:val="00B4117A"/>
    <w:rsid w:val="00B41D2D"/>
    <w:rsid w:val="00B41D34"/>
    <w:rsid w:val="00B5001E"/>
    <w:rsid w:val="00B527B2"/>
    <w:rsid w:val="00B530B0"/>
    <w:rsid w:val="00B6041F"/>
    <w:rsid w:val="00B652EE"/>
    <w:rsid w:val="00B66D4A"/>
    <w:rsid w:val="00B70751"/>
    <w:rsid w:val="00B70CB2"/>
    <w:rsid w:val="00B70E13"/>
    <w:rsid w:val="00B75F7B"/>
    <w:rsid w:val="00B773B1"/>
    <w:rsid w:val="00B92D67"/>
    <w:rsid w:val="00BA0110"/>
    <w:rsid w:val="00BA28B0"/>
    <w:rsid w:val="00BA5849"/>
    <w:rsid w:val="00BC2439"/>
    <w:rsid w:val="00BC25F8"/>
    <w:rsid w:val="00BD05A5"/>
    <w:rsid w:val="00BD27EB"/>
    <w:rsid w:val="00BE4EC5"/>
    <w:rsid w:val="00BF08AE"/>
    <w:rsid w:val="00BF3582"/>
    <w:rsid w:val="00BF4110"/>
    <w:rsid w:val="00BF684D"/>
    <w:rsid w:val="00BF72C0"/>
    <w:rsid w:val="00C021C6"/>
    <w:rsid w:val="00C04690"/>
    <w:rsid w:val="00C068D6"/>
    <w:rsid w:val="00C30093"/>
    <w:rsid w:val="00C3304B"/>
    <w:rsid w:val="00C34313"/>
    <w:rsid w:val="00C41646"/>
    <w:rsid w:val="00C47E34"/>
    <w:rsid w:val="00C52DED"/>
    <w:rsid w:val="00C56726"/>
    <w:rsid w:val="00C73B95"/>
    <w:rsid w:val="00C8792D"/>
    <w:rsid w:val="00CA0535"/>
    <w:rsid w:val="00CA48C4"/>
    <w:rsid w:val="00CB73CC"/>
    <w:rsid w:val="00CC1066"/>
    <w:rsid w:val="00CC710C"/>
    <w:rsid w:val="00CD0A05"/>
    <w:rsid w:val="00CD4F1B"/>
    <w:rsid w:val="00CD6C78"/>
    <w:rsid w:val="00CD6FF7"/>
    <w:rsid w:val="00CF1E34"/>
    <w:rsid w:val="00D003E4"/>
    <w:rsid w:val="00D12A7F"/>
    <w:rsid w:val="00D1654F"/>
    <w:rsid w:val="00D34B1B"/>
    <w:rsid w:val="00D50283"/>
    <w:rsid w:val="00D557A4"/>
    <w:rsid w:val="00D64F7C"/>
    <w:rsid w:val="00D72C99"/>
    <w:rsid w:val="00D72D8F"/>
    <w:rsid w:val="00D74056"/>
    <w:rsid w:val="00D75CC9"/>
    <w:rsid w:val="00D82256"/>
    <w:rsid w:val="00D951EA"/>
    <w:rsid w:val="00DA1A02"/>
    <w:rsid w:val="00DA1ED1"/>
    <w:rsid w:val="00DA276E"/>
    <w:rsid w:val="00DA419D"/>
    <w:rsid w:val="00DA513F"/>
    <w:rsid w:val="00DA69D5"/>
    <w:rsid w:val="00DA6C4C"/>
    <w:rsid w:val="00DB5CFA"/>
    <w:rsid w:val="00DC0B37"/>
    <w:rsid w:val="00DD0255"/>
    <w:rsid w:val="00DD0C05"/>
    <w:rsid w:val="00DD6D1E"/>
    <w:rsid w:val="00DE4289"/>
    <w:rsid w:val="00DF1F91"/>
    <w:rsid w:val="00DF2C21"/>
    <w:rsid w:val="00DF466D"/>
    <w:rsid w:val="00DF471F"/>
    <w:rsid w:val="00E036F5"/>
    <w:rsid w:val="00E05F55"/>
    <w:rsid w:val="00E11213"/>
    <w:rsid w:val="00E139A7"/>
    <w:rsid w:val="00E25F82"/>
    <w:rsid w:val="00E270DA"/>
    <w:rsid w:val="00E279AE"/>
    <w:rsid w:val="00E320D1"/>
    <w:rsid w:val="00E32E98"/>
    <w:rsid w:val="00E34602"/>
    <w:rsid w:val="00E34D4C"/>
    <w:rsid w:val="00E40ACA"/>
    <w:rsid w:val="00E43908"/>
    <w:rsid w:val="00E51C23"/>
    <w:rsid w:val="00E5387A"/>
    <w:rsid w:val="00E54C93"/>
    <w:rsid w:val="00E57FC5"/>
    <w:rsid w:val="00E6329E"/>
    <w:rsid w:val="00E636DA"/>
    <w:rsid w:val="00E6784B"/>
    <w:rsid w:val="00E74D4C"/>
    <w:rsid w:val="00E75F21"/>
    <w:rsid w:val="00E807B1"/>
    <w:rsid w:val="00E82947"/>
    <w:rsid w:val="00E84B5A"/>
    <w:rsid w:val="00E96AC3"/>
    <w:rsid w:val="00EA1747"/>
    <w:rsid w:val="00EA6C8D"/>
    <w:rsid w:val="00EA7061"/>
    <w:rsid w:val="00EB49CC"/>
    <w:rsid w:val="00EB6FE9"/>
    <w:rsid w:val="00EC56A8"/>
    <w:rsid w:val="00ED0DB9"/>
    <w:rsid w:val="00ED4E00"/>
    <w:rsid w:val="00ED534A"/>
    <w:rsid w:val="00EF0C90"/>
    <w:rsid w:val="00EF0F6B"/>
    <w:rsid w:val="00EF13E8"/>
    <w:rsid w:val="00F105A0"/>
    <w:rsid w:val="00F14B41"/>
    <w:rsid w:val="00F24CE8"/>
    <w:rsid w:val="00F347A6"/>
    <w:rsid w:val="00F567E2"/>
    <w:rsid w:val="00F70015"/>
    <w:rsid w:val="00F73A80"/>
    <w:rsid w:val="00F77825"/>
    <w:rsid w:val="00F7785C"/>
    <w:rsid w:val="00F81826"/>
    <w:rsid w:val="00F87776"/>
    <w:rsid w:val="00FA3FA0"/>
    <w:rsid w:val="00FA6F6A"/>
    <w:rsid w:val="00FB09C0"/>
    <w:rsid w:val="00FC2FD5"/>
    <w:rsid w:val="00FD6A9A"/>
    <w:rsid w:val="00FE407E"/>
    <w:rsid w:val="00FE4994"/>
    <w:rsid w:val="00FE52B8"/>
    <w:rsid w:val="00FE6DE7"/>
    <w:rsid w:val="00FF19BE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3269"/>
  <w15:docId w15:val="{412CE0FE-869D-4123-B557-72E7A894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776"/>
  </w:style>
  <w:style w:type="paragraph" w:styleId="Footer">
    <w:name w:val="footer"/>
    <w:basedOn w:val="Normal"/>
    <w:link w:val="Foot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SUPPLIER'S PRODUCT</a:t>
            </a:r>
          </a:p>
        </c:rich>
      </c:tx>
      <c:layout>
        <c:manualLayout>
          <c:xMode val="edge"/>
          <c:yMode val="edge"/>
          <c:x val="0.1643698321222751"/>
          <c:y val="1.56862745098039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DD13-475F-BB32-6CAE46F9043F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DD13-475F-BB32-6CAE46F9043F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DD13-475F-BB32-6CAE46F9043F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DD13-475F-BB32-6CAE46F9043F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DD13-475F-BB32-6CAE46F9043F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DD13-475F-BB32-6CAE46F9043F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DD13-475F-BB32-6CAE46F9043F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DD13-475F-BB32-6CAE46F9043F}"/>
              </c:ext>
            </c:extLst>
          </c:dPt>
          <c:dPt>
            <c:idx val="8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1-3525-4E3A-86AE-27512A42EB47}"/>
              </c:ext>
            </c:extLst>
          </c:dPt>
          <c:dLbls>
            <c:dLbl>
              <c:idx val="0"/>
              <c:layout>
                <c:manualLayout>
                  <c:x val="-0.34831303503749578"/>
                  <c:y val="1.448407184396068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0760804-469E-4279-9E7A-BCE0488453AD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100%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439989977449261"/>
                      <c:h val="0.1433202614379084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D13-475F-BB32-6CAE46F9043F}"/>
                </c:ext>
              </c:extLst>
            </c:dLbl>
            <c:dLbl>
              <c:idx val="1"/>
              <c:layout>
                <c:manualLayout>
                  <c:x val="-0.29365047735357308"/>
                  <c:y val="8.47379959857959E-2"/>
                </c:manualLayout>
              </c:layout>
              <c:tx>
                <c:rich>
                  <a:bodyPr/>
                  <a:lstStyle/>
                  <a:p>
                    <a:fld id="{84F072E5-E1E7-4671-8BAE-22C65BA1BBA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D13-475F-BB32-6CAE46F9043F}"/>
                </c:ext>
              </c:extLst>
            </c:dLbl>
            <c:dLbl>
              <c:idx val="2"/>
              <c:layout>
                <c:manualLayout>
                  <c:x val="-0.14714643380677386"/>
                  <c:y val="5.6375894189696872E-3"/>
                </c:manualLayout>
              </c:layout>
              <c:tx>
                <c:rich>
                  <a:bodyPr/>
                  <a:lstStyle/>
                  <a:p>
                    <a:fld id="{FA163F69-7A15-4F65-ABEE-3A605AF739E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B54EB4DE-D8F3-4136-AA37-36FEB8FD4064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D13-475F-BB32-6CAE46F9043F}"/>
                </c:ext>
              </c:extLst>
            </c:dLbl>
            <c:dLbl>
              <c:idx val="4"/>
              <c:layout>
                <c:manualLayout>
                  <c:x val="0.15340007142053874"/>
                  <c:y val="1.767279090113737E-2"/>
                </c:manualLayout>
              </c:layout>
              <c:tx>
                <c:rich>
                  <a:bodyPr/>
                  <a:lstStyle/>
                  <a:p>
                    <a:fld id="{BE96CE84-E1BB-4903-BAC2-05DECFC7A82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D13-475F-BB32-6CAE46F9043F}"/>
                </c:ext>
              </c:extLst>
            </c:dLbl>
            <c:dLbl>
              <c:idx val="5"/>
              <c:layout>
                <c:manualLayout>
                  <c:x val="0.18560955062275938"/>
                  <c:y val="8.860686531830580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D13-475F-BB32-6CAE46F9043F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.23499724774443281"/>
                      <c:h val="0.1652868097370181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DD13-475F-BB32-6CAE46F9043F}"/>
                </c:ext>
              </c:extLst>
            </c:dLbl>
            <c:dLbl>
              <c:idx val="7"/>
              <c:layout>
                <c:manualLayout>
                  <c:x val="-0.15151374056193365"/>
                  <c:y val="-0.217922289125624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D13-475F-BB32-6CAE46F9043F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CD8ECDC6-6D8A-494F-A93A-772BFAA3388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96771A34-248B-48FF-9A0C-AED64C1C2161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3525-4E3A-86AE-27512A42EB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Sheet1!$A$2:$A$2</c:f>
              <c:strCache>
                <c:ptCount val="1"/>
                <c:pt idx="0">
                  <c:v>Hydro</c:v>
                </c:pt>
              </c:strCache>
            </c:strRef>
          </c:cat>
          <c:val>
            <c:numRef>
              <c:f>Sheet1!$B$2:$B$2</c:f>
              <c:numCache>
                <c:formatCode>0.0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D13-475F-BB32-6CAE46F90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REGIONAL</a:t>
            </a:r>
            <a:r>
              <a:rPr lang="en-US" sz="1200" baseline="0"/>
              <a:t> PRODUCT</a:t>
            </a:r>
            <a:endParaRPr lang="en-US" sz="1200"/>
          </a:p>
        </c:rich>
      </c:tx>
      <c:layout>
        <c:manualLayout>
          <c:xMode val="edge"/>
          <c:yMode val="edge"/>
          <c:x val="0.23025154121684435"/>
          <c:y val="1.56862745098039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EE43-4CE7-B568-A41FA71C2B3D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EE43-4CE7-B568-A41FA71C2B3D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EE43-4CE7-B568-A41FA71C2B3D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EE43-4CE7-B568-A41FA71C2B3D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EE43-4CE7-B568-A41FA71C2B3D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EE43-4CE7-B568-A41FA71C2B3D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EE43-4CE7-B568-A41FA71C2B3D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EE43-4CE7-B568-A41FA71C2B3D}"/>
              </c:ext>
            </c:extLst>
          </c:dPt>
          <c:dPt>
            <c:idx val="8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1-EE43-4CE7-B568-A41FA71C2B3D}"/>
              </c:ext>
            </c:extLst>
          </c:dPt>
          <c:dLbls>
            <c:dLbl>
              <c:idx val="0"/>
              <c:layout>
                <c:manualLayout>
                  <c:x val="-0.39842559143900547"/>
                  <c:y val="9.255313674026041E-3"/>
                </c:manualLayout>
              </c:layout>
              <c:tx>
                <c:rich>
                  <a:bodyPr/>
                  <a:lstStyle/>
                  <a:p>
                    <a:fld id="{70760804-469E-4279-9E7A-BCE0488453A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E43-4CE7-B568-A41FA71C2B3D}"/>
                </c:ext>
              </c:extLst>
            </c:dLbl>
            <c:dLbl>
              <c:idx val="1"/>
              <c:layout>
                <c:manualLayout>
                  <c:x val="-0.2833829589438695"/>
                  <c:y val="7.4280479645926614E-2"/>
                </c:manualLayout>
              </c:layout>
              <c:tx>
                <c:rich>
                  <a:bodyPr/>
                  <a:lstStyle/>
                  <a:p>
                    <a:fld id="{84F072E5-E1E7-4671-8BAE-22C65BA1BBA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E43-4CE7-B568-A41FA71C2B3D}"/>
                </c:ext>
              </c:extLst>
            </c:dLbl>
            <c:dLbl>
              <c:idx val="2"/>
              <c:layout>
                <c:manualLayout>
                  <c:x val="-0.16531237188604908"/>
                  <c:y val="-1.7891822345736195E-2"/>
                </c:manualLayout>
              </c:layout>
              <c:tx>
                <c:rich>
                  <a:bodyPr/>
                  <a:lstStyle/>
                  <a:p>
                    <a:fld id="{FA163F69-7A15-4F65-ABEE-3A605AF739E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B54EB4DE-D8F3-4136-AA37-36FEB8FD4064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E43-4CE7-B568-A41FA71C2B3D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E96CE84-E1BB-4903-BAC2-05DECFC7A82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E43-4CE7-B568-A41FA71C2B3D}"/>
                </c:ext>
              </c:extLst>
            </c:dLbl>
            <c:dLbl>
              <c:idx val="5"/>
              <c:layout>
                <c:manualLayout>
                  <c:x val="0.21529399084219825"/>
                  <c:y val="9.122124440327311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E43-4CE7-B568-A41FA71C2B3D}"/>
                </c:ext>
              </c:extLst>
            </c:dLbl>
            <c:dLbl>
              <c:idx val="6"/>
              <c:layout>
                <c:manualLayout>
                  <c:x val="-0.22550719433686434"/>
                  <c:y val="0.1371740003087849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4EEC02-CF02-49FF-BB76-BD75137D0DAF}" type="CATEGORYNAME">
                      <a:rPr lang="en-US" sz="1000" baseline="0"/>
                      <a:pPr>
                        <a:defRPr sz="1000"/>
                      </a:pPr>
                      <a:t>[CATEGORY NAME]</a:t>
                    </a:fld>
                    <a:endParaRPr lang="en-US" sz="1000" baseline="0"/>
                  </a:p>
                  <a:p>
                    <a:pPr>
                      <a:defRPr sz="1000"/>
                    </a:pPr>
                    <a:fld id="{8DAD2167-A0B9-44CC-982A-5298DEEF79DC}" type="VALUE">
                      <a:rPr lang="en-US" sz="1000" baseline="0"/>
                      <a:pPr>
                        <a:defRPr sz="1000"/>
                      </a:pPr>
                      <a:t>[VALUE]</a:t>
                    </a:fld>
                    <a:r>
                      <a:rPr lang="en-US" sz="1000" baseline="0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499724774443281"/>
                      <c:h val="0.165286809737018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EE43-4CE7-B568-A41FA71C2B3D}"/>
                </c:ext>
              </c:extLst>
            </c:dLbl>
            <c:dLbl>
              <c:idx val="7"/>
              <c:layout>
                <c:manualLayout>
                  <c:x val="-0.1508358081981381"/>
                  <c:y val="-0.22342895373372446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E43-4CE7-B568-A41FA71C2B3D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6C5DD8EF-3CBC-4BAB-8CDE-846855A7E97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10BE0973-A8FE-425A-A394-0A1B881E4B98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EE43-4CE7-B568-A41FA71C2B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Biomass</c:v>
                </c:pt>
                <c:pt idx="1">
                  <c:v>Oil</c:v>
                </c:pt>
                <c:pt idx="2">
                  <c:v>Other</c:v>
                </c:pt>
                <c:pt idx="3">
                  <c:v>Hydro</c:v>
                </c:pt>
                <c:pt idx="4">
                  <c:v>Solar</c:v>
                </c:pt>
                <c:pt idx="5">
                  <c:v>Wind</c:v>
                </c:pt>
                <c:pt idx="6">
                  <c:v>Coal</c:v>
                </c:pt>
                <c:pt idx="7">
                  <c:v>Nuclear</c:v>
                </c:pt>
                <c:pt idx="8">
                  <c:v>Natural Gas</c:v>
                </c:pt>
              </c:strCache>
            </c:strRef>
          </c:cat>
          <c:val>
            <c:numRef>
              <c:f>Sheet1!$B$2:$B$10</c:f>
              <c:numCache>
                <c:formatCode>0.0</c:formatCode>
                <c:ptCount val="9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3.5</c:v>
                </c:pt>
                <c:pt idx="6">
                  <c:v>15</c:v>
                </c:pt>
                <c:pt idx="7">
                  <c:v>33</c:v>
                </c:pt>
                <c:pt idx="8">
                  <c:v>44.5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E43-4CE7-B568-A41FA71C2B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19329180867317"/>
          <c:y val="7.3333333333333334E-2"/>
          <c:w val="0.74860632271712313"/>
          <c:h val="0.85333333333333339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Projected</c:v>
                </c:pt>
              </c:strCache>
            </c:strRef>
          </c:tx>
          <c:spPr>
            <a:solidFill>
              <a:schemeClr val="accent3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Sulphur Dioxides</c:v>
                </c:pt>
                <c:pt idx="1">
                  <c:v>Nitrogen Oxides</c:v>
                </c:pt>
                <c:pt idx="2">
                  <c:v>Carbon Dioxide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05-4798-850C-734487131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7604751"/>
        <c:axId val="109827775"/>
      </c:barChart>
      <c:catAx>
        <c:axId val="1176047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827775"/>
        <c:crosses val="autoZero"/>
        <c:auto val="1"/>
        <c:lblAlgn val="ctr"/>
        <c:lblOffset val="100"/>
        <c:noMultiLvlLbl val="0"/>
      </c:catAx>
      <c:valAx>
        <c:axId val="109827775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176047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0.80597</cdr:x>
      <cdr:y>0.07</cdr:y>
    </cdr:from>
    <cdr:to>
      <cdr:x>0.80597</cdr:x>
      <cdr:y>0.9</cdr:y>
    </cdr:to>
    <cdr:cxnSp macro="">
      <cdr:nvCxnSpPr>
        <cdr:cNvPr id="3" name="Straight Connector 2">
          <a:extLst xmlns:a="http://schemas.openxmlformats.org/drawingml/2006/main">
            <a:ext uri="{FF2B5EF4-FFF2-40B4-BE49-F238E27FC236}">
              <a16:creationId xmlns:a16="http://schemas.microsoft.com/office/drawing/2014/main" id="{1D40E9A4-5D5B-4204-9D19-F72273394C1B}"/>
            </a:ext>
          </a:extLst>
        </cdr:cNvPr>
        <cdr:cNvCxnSpPr/>
      </cdr:nvCxnSpPr>
      <cdr:spPr>
        <a:xfrm xmlns:a="http://schemas.openxmlformats.org/drawingml/2006/main">
          <a:off x="4286249" y="133350"/>
          <a:ext cx="0" cy="158115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0.59293</cdr:x>
      <cdr:y>0.87296</cdr:y>
    </cdr:from>
    <cdr:to>
      <cdr:x>0.85543</cdr:x>
      <cdr:y>0.97713</cdr:y>
    </cdr:to>
    <cdr:sp macro="" textlink="">
      <cdr:nvSpPr>
        <cdr:cNvPr id="11" name="TextBox 10">
          <a:extLst xmlns:a="http://schemas.openxmlformats.org/drawingml/2006/main">
            <a:ext uri="{FF2B5EF4-FFF2-40B4-BE49-F238E27FC236}">
              <a16:creationId xmlns:a16="http://schemas.microsoft.com/office/drawing/2014/main" id="{ACC5E231-AAFE-497D-A376-0499A2004EBC}"/>
            </a:ext>
          </a:extLst>
        </cdr:cNvPr>
        <cdr:cNvSpPr txBox="1"/>
      </cdr:nvSpPr>
      <cdr:spPr>
        <a:xfrm xmlns:a="http://schemas.openxmlformats.org/drawingml/2006/main">
          <a:off x="3153266" y="1662995"/>
          <a:ext cx="1396008" cy="198444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Regional Average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EC76200BFB64DA3149CB9A0DD94C7" ma:contentTypeVersion="9" ma:contentTypeDescription="Create a new document." ma:contentTypeScope="" ma:versionID="a6d84fef85ac6bed7438cc3becf07e1e">
  <xsd:schema xmlns:xsd="http://www.w3.org/2001/XMLSchema" xmlns:xs="http://www.w3.org/2001/XMLSchema" xmlns:p="http://schemas.microsoft.com/office/2006/metadata/properties" xmlns:ns2="9fdc9550-984d-4f35-ad96-764fcab7d7a0" xmlns:ns3="d1fad978-bdf5-4b76-b02d-668cd191dc7a" targetNamespace="http://schemas.microsoft.com/office/2006/metadata/properties" ma:root="true" ma:fieldsID="3ccb06bf0da957a53f873863a168bab8" ns2:_="" ns3:_="">
    <xsd:import namespace="9fdc9550-984d-4f35-ad96-764fcab7d7a0"/>
    <xsd:import namespace="d1fad978-bdf5-4b76-b02d-668cd191d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c9550-984d-4f35-ad96-764fcab7d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ad978-bdf5-4b76-b02d-668cd191d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418EBD-7A65-4393-851D-7FEDC52CC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c9550-984d-4f35-ad96-764fcab7d7a0"/>
    <ds:schemaRef ds:uri="d1fad978-bdf5-4b76-b02d-668cd191d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2F508A-F85F-4FF0-85A6-C64CDF8CC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59F483-7051-49E0-B557-71CC145A73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A27758-2F0C-4C72-9023-555A1F3FBD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Bellamy, Mark</dc:creator>
  <cp:keywords/>
  <cp:lastModifiedBy>Yesenia Alvarez</cp:lastModifiedBy>
  <cp:revision>2</cp:revision>
  <cp:lastPrinted>2023-12-22T17:29:00Z</cp:lastPrinted>
  <dcterms:created xsi:type="dcterms:W3CDTF">2025-01-06T20:22:00Z</dcterms:created>
  <dcterms:modified xsi:type="dcterms:W3CDTF">2025-01-06T20:22:00Z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0x010100E4BEC76200BFB64DA3149CB9A0DD94C7</vt:lpwstr>
  </property>
</Properties>
</file>