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20BCDCDE" w:rsidR="001A1E3A" w:rsidRPr="00DF2C21" w:rsidRDefault="00DA0C0E" w:rsidP="001A1E3A">
            <w:pPr>
              <w:jc w:val="center"/>
              <w:rPr>
                <w:rFonts w:cstheme="minorHAnsi"/>
              </w:rPr>
            </w:pPr>
            <w:r w:rsidRPr="00DA0C0E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76F27CD8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DA0C0E">
              <w:rPr>
                <w:rFonts w:cstheme="minorHAnsi"/>
                <w:b/>
                <w:bCs/>
                <w:sz w:val="24"/>
                <w:szCs w:val="24"/>
              </w:rPr>
              <w:t>06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DA0C0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2BD437B6">
                        <wp:extent cx="2613025" cy="2689860"/>
                        <wp:effectExtent l="0" t="0" r="15875" b="15240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32883E3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6EDA8297">
                        <wp:simplePos x="0" y="0"/>
                        <wp:positionH relativeFrom="column">
                          <wp:posOffset>-60960</wp:posOffset>
                        </wp:positionH>
                        <wp:positionV relativeFrom="page">
                          <wp:posOffset>-1270</wp:posOffset>
                        </wp:positionV>
                        <wp:extent cx="2571750" cy="280035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6FE5BF47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20BD15A5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</w:t>
            </w:r>
            <w:r w:rsidRPr="002D102F">
              <w:rPr>
                <w:rFonts w:cstheme="minorHAnsi"/>
                <w:sz w:val="20"/>
                <w:szCs w:val="20"/>
              </w:rPr>
              <w:t xml:space="preserve">costs. For further information, contact </w:t>
            </w:r>
            <w:r w:rsidR="002D102F" w:rsidRPr="002D102F">
              <w:rPr>
                <w:rFonts w:cstheme="minorHAnsi"/>
                <w:sz w:val="20"/>
                <w:szCs w:val="20"/>
              </w:rPr>
              <w:t xml:space="preserve">Clearview Energy </w:t>
            </w:r>
            <w:r w:rsidR="00970B8F" w:rsidRPr="002D102F">
              <w:rPr>
                <w:rFonts w:cstheme="minorHAnsi"/>
                <w:sz w:val="20"/>
                <w:szCs w:val="20"/>
              </w:rPr>
              <w:t xml:space="preserve">at </w:t>
            </w:r>
            <w:r w:rsidR="002D102F" w:rsidRPr="002D102F">
              <w:rPr>
                <w:rFonts w:cstheme="minorHAnsi"/>
                <w:sz w:val="20"/>
                <w:szCs w:val="20"/>
              </w:rPr>
              <w:t>CustomerService@ClearviewEnergy.com</w:t>
            </w:r>
            <w:r w:rsidR="00970B8F" w:rsidRPr="002D102F">
              <w:rPr>
                <w:rFonts w:cstheme="minorHAnsi"/>
                <w:sz w:val="20"/>
                <w:szCs w:val="20"/>
              </w:rPr>
              <w:t xml:space="preserve"> </w:t>
            </w:r>
            <w:r w:rsidRPr="002D102F">
              <w:rPr>
                <w:rFonts w:cstheme="minorHAnsi"/>
                <w:sz w:val="20"/>
                <w:szCs w:val="20"/>
              </w:rPr>
              <w:t xml:space="preserve">or </w:t>
            </w:r>
            <w:r w:rsidR="002D102F" w:rsidRPr="002D102F">
              <w:rPr>
                <w:rFonts w:cstheme="minorHAnsi"/>
                <w:sz w:val="20"/>
                <w:szCs w:val="20"/>
              </w:rPr>
              <w:t>800-746-4702.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0B37" w14:textId="77777777" w:rsidR="0057787B" w:rsidRDefault="0057787B" w:rsidP="00F87776">
      <w:pPr>
        <w:spacing w:after="0" w:line="240" w:lineRule="auto"/>
      </w:pPr>
      <w:r>
        <w:separator/>
      </w:r>
    </w:p>
  </w:endnote>
  <w:endnote w:type="continuationSeparator" w:id="0">
    <w:p w14:paraId="6490A232" w14:textId="77777777" w:rsidR="0057787B" w:rsidRDefault="0057787B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522A" w14:textId="77777777" w:rsidR="0057787B" w:rsidRDefault="0057787B" w:rsidP="00F87776">
      <w:pPr>
        <w:spacing w:after="0" w:line="240" w:lineRule="auto"/>
      </w:pPr>
      <w:r>
        <w:separator/>
      </w:r>
    </w:p>
  </w:footnote>
  <w:footnote w:type="continuationSeparator" w:id="0">
    <w:p w14:paraId="1F2BD1A7" w14:textId="77777777" w:rsidR="0057787B" w:rsidRDefault="0057787B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586E"/>
    <w:rsid w:val="00203848"/>
    <w:rsid w:val="00204206"/>
    <w:rsid w:val="00204FBB"/>
    <w:rsid w:val="00207263"/>
    <w:rsid w:val="002119DC"/>
    <w:rsid w:val="00243989"/>
    <w:rsid w:val="002608BA"/>
    <w:rsid w:val="00274B7F"/>
    <w:rsid w:val="00275555"/>
    <w:rsid w:val="00277C3D"/>
    <w:rsid w:val="00284360"/>
    <w:rsid w:val="00294073"/>
    <w:rsid w:val="002B47E8"/>
    <w:rsid w:val="002B5E54"/>
    <w:rsid w:val="002C1C08"/>
    <w:rsid w:val="002D102F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69A7"/>
    <w:rsid w:val="004378CC"/>
    <w:rsid w:val="0045247E"/>
    <w:rsid w:val="004575F2"/>
    <w:rsid w:val="004631B2"/>
    <w:rsid w:val="00465395"/>
    <w:rsid w:val="00477520"/>
    <w:rsid w:val="00486159"/>
    <w:rsid w:val="00496765"/>
    <w:rsid w:val="004A2304"/>
    <w:rsid w:val="004A6F2A"/>
    <w:rsid w:val="004A7A4F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42B2"/>
    <w:rsid w:val="006545FB"/>
    <w:rsid w:val="0065611B"/>
    <w:rsid w:val="006751EF"/>
    <w:rsid w:val="00680A05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46C94"/>
    <w:rsid w:val="00953345"/>
    <w:rsid w:val="009649AD"/>
    <w:rsid w:val="009708DC"/>
    <w:rsid w:val="00970B8F"/>
    <w:rsid w:val="00977D6D"/>
    <w:rsid w:val="00980E78"/>
    <w:rsid w:val="009831DA"/>
    <w:rsid w:val="00985076"/>
    <w:rsid w:val="00997E0A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52EE"/>
    <w:rsid w:val="00B66D4A"/>
    <w:rsid w:val="00B70751"/>
    <w:rsid w:val="00B70E13"/>
    <w:rsid w:val="00B75F7B"/>
    <w:rsid w:val="00B92D67"/>
    <w:rsid w:val="00BA0110"/>
    <w:rsid w:val="00BA28B0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940"/>
    <w:rsid w:val="00C56726"/>
    <w:rsid w:val="00C73B95"/>
    <w:rsid w:val="00CA0535"/>
    <w:rsid w:val="00CA333D"/>
    <w:rsid w:val="00CA48C4"/>
    <w:rsid w:val="00CB73CC"/>
    <w:rsid w:val="00CC710C"/>
    <w:rsid w:val="00CD0A05"/>
    <w:rsid w:val="00CD6C78"/>
    <w:rsid w:val="00CD6FF7"/>
    <w:rsid w:val="00D003E4"/>
    <w:rsid w:val="00D03E7B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51EA"/>
    <w:rsid w:val="00DA0C0E"/>
    <w:rsid w:val="00DA1A02"/>
    <w:rsid w:val="00DA1ED1"/>
    <w:rsid w:val="00DA276E"/>
    <w:rsid w:val="00DA69D5"/>
    <w:rsid w:val="00DA6C4C"/>
    <w:rsid w:val="00DB5CFA"/>
    <w:rsid w:val="00DC0B37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61109"/>
    <w:rsid w:val="00F70015"/>
    <w:rsid w:val="00F73A80"/>
    <w:rsid w:val="00F7785C"/>
    <w:rsid w:val="00F81826"/>
    <w:rsid w:val="00F87776"/>
    <w:rsid w:val="00FA3FA0"/>
    <w:rsid w:val="00FB09C0"/>
    <w:rsid w:val="00FC165E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100.%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</c:f>
              <c:strCache>
                <c:ptCount val="1"/>
                <c:pt idx="0">
                  <c:v>Hydro</c:v>
                </c:pt>
              </c:strCache>
            </c:strRef>
          </c:cat>
          <c:val>
            <c:numRef>
              <c:f>Sheet1!$B$2:$B$2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100%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</c:f>
              <c:strCache>
                <c:ptCount val="1"/>
                <c:pt idx="0">
                  <c:v>Hydro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pattFill prst="pct25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0.75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Props1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7</cp:revision>
  <cp:lastPrinted>2022-05-05T13:40:00Z</cp:lastPrinted>
  <dcterms:created xsi:type="dcterms:W3CDTF">2024-05-13T19:01:00Z</dcterms:created>
  <dcterms:modified xsi:type="dcterms:W3CDTF">2024-08-20T21:54:00Z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